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78-6</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裕民县白特列克快餐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92654225MA79B0E66K</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赛尔古力·卡得尔汗</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经营，当事人自成立后，2023年、2024年度在“国家企业信用信息公示系统（新疆）”报送年度报告公示信息里面两年未进行年报，裕民县白特列克快餐在税务机关进行营业纳税申报信息显示为：非正常户注销状态。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bookmarkStart w:id="0" w:name="_GoBack"/>
      <w:bookmarkEnd w:id="0"/>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default"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的登记注册信息，证明裕民县白特列克快餐的成立情况；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2.裕民县白特列克快餐在“国家企业信用信息公示系统（新疆）”的年度报告公示信息，证明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3.裕民县白特列克快餐</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裕民县白特列克快餐</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5.拍摄的现场照片1份，证明执法人去裕民县白特列克快餐所登记注册的经营场所进行现场检查时，发现该场所无人经营的事实；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6、通话记录截图1份，证明执法人员拨打裕民县白特列克快餐所登记注册的电话号码，无法与当事人取得联系的事实；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D6F58"/>
    <w:rsid w:val="22735FCC"/>
    <w:rsid w:val="22AF635B"/>
    <w:rsid w:val="236B7425"/>
    <w:rsid w:val="241F6F4B"/>
    <w:rsid w:val="2495761A"/>
    <w:rsid w:val="25A9109A"/>
    <w:rsid w:val="25BF2D09"/>
    <w:rsid w:val="26D65897"/>
    <w:rsid w:val="270152C1"/>
    <w:rsid w:val="27A260CA"/>
    <w:rsid w:val="27B051D4"/>
    <w:rsid w:val="27B92EFD"/>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